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C7E0" w14:textId="77777777" w:rsidR="00F90B9C" w:rsidRDefault="00000000">
      <w:pPr>
        <w:spacing w:after="468"/>
        <w:ind w:left="6850" w:right="-410"/>
      </w:pPr>
      <w:r>
        <w:rPr>
          <w:noProof/>
        </w:rPr>
        <w:drawing>
          <wp:inline distT="0" distB="0" distL="0" distR="0" wp14:anchorId="31B90FDB" wp14:editId="52AED46D">
            <wp:extent cx="1820927" cy="285750"/>
            <wp:effectExtent l="0" t="0" r="0" b="0"/>
            <wp:docPr id="77" name="Picture 77" descr="LOGO MER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 MERCK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92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891B" w14:textId="77777777" w:rsidR="00F90B9C" w:rsidRDefault="00000000">
      <w:pPr>
        <w:spacing w:after="756"/>
      </w:pPr>
      <w:r>
        <w:rPr>
          <w:rFonts w:ascii="Verdana" w:eastAsia="Verdana" w:hAnsi="Verdana" w:cs="Verdana"/>
          <w:sz w:val="32"/>
        </w:rPr>
        <w:t xml:space="preserve"> </w:t>
      </w:r>
    </w:p>
    <w:p w14:paraId="613DBB81" w14:textId="77777777" w:rsidR="00F90B9C" w:rsidRDefault="00000000">
      <w:pPr>
        <w:tabs>
          <w:tab w:val="center" w:pos="6851"/>
        </w:tabs>
        <w:spacing w:after="0"/>
      </w:pPr>
      <w:r>
        <w:rPr>
          <w:rFonts w:ascii="Verdana" w:eastAsia="Verdana" w:hAnsi="Verdana" w:cs="Verdana"/>
          <w:sz w:val="12"/>
        </w:rPr>
        <w:t xml:space="preserve">Merck Life Science KGaA </w:t>
      </w:r>
      <w:r>
        <w:rPr>
          <w:rFonts w:ascii="Verdana" w:eastAsia="Verdana" w:hAnsi="Verdana" w:cs="Verdana"/>
          <w:sz w:val="18"/>
          <w:vertAlign w:val="superscript"/>
        </w:rPr>
        <w:t>.</w:t>
      </w:r>
      <w:r>
        <w:rPr>
          <w:rFonts w:ascii="Verdana" w:eastAsia="Verdana" w:hAnsi="Verdana" w:cs="Verdana"/>
          <w:sz w:val="12"/>
        </w:rPr>
        <w:t xml:space="preserve"> Frankfurter Str. 250 </w:t>
      </w:r>
      <w:r>
        <w:rPr>
          <w:rFonts w:ascii="Verdana" w:eastAsia="Verdana" w:hAnsi="Verdana" w:cs="Verdana"/>
          <w:sz w:val="18"/>
          <w:vertAlign w:val="superscript"/>
        </w:rPr>
        <w:t>.</w:t>
      </w:r>
      <w:r>
        <w:rPr>
          <w:rFonts w:ascii="Verdana" w:eastAsia="Verdana" w:hAnsi="Verdana" w:cs="Verdana"/>
          <w:sz w:val="12"/>
        </w:rPr>
        <w:t xml:space="preserve"> 64293 Darmstadt </w:t>
      </w:r>
      <w:r>
        <w:rPr>
          <w:rFonts w:ascii="Verdana" w:eastAsia="Verdana" w:hAnsi="Verdana" w:cs="Verdana"/>
          <w:sz w:val="18"/>
          <w:vertAlign w:val="superscript"/>
        </w:rPr>
        <w:t>.</w:t>
      </w:r>
      <w:r>
        <w:rPr>
          <w:rFonts w:ascii="Verdana" w:eastAsia="Verdana" w:hAnsi="Verdana" w:cs="Verdana"/>
          <w:sz w:val="12"/>
        </w:rPr>
        <w:t xml:space="preserve"> Germany </w:t>
      </w:r>
      <w:r>
        <w:rPr>
          <w:rFonts w:ascii="Verdana" w:eastAsia="Verdana" w:hAnsi="Verdana" w:cs="Verdana"/>
          <w:sz w:val="12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184F36E2" w14:textId="77777777" w:rsidR="00F90B9C" w:rsidRDefault="00000000">
      <w:pPr>
        <w:spacing w:after="144"/>
      </w:pPr>
      <w:r>
        <w:rPr>
          <w:rFonts w:ascii="Verdana" w:eastAsia="Verdana" w:hAnsi="Verdana" w:cs="Verdana"/>
          <w:sz w:val="8"/>
        </w:rPr>
        <w:t xml:space="preserve"> </w:t>
      </w:r>
    </w:p>
    <w:p w14:paraId="31F9289C" w14:textId="77777777" w:rsidR="00F90B9C" w:rsidRDefault="00000000">
      <w:pPr>
        <w:tabs>
          <w:tab w:val="center" w:pos="5886"/>
          <w:tab w:val="center" w:pos="7663"/>
        </w:tabs>
        <w:spacing w:after="0" w:line="265" w:lineRule="auto"/>
        <w:ind w:left="-15"/>
      </w:pPr>
      <w:r>
        <w:rPr>
          <w:rFonts w:ascii="Verdana" w:eastAsia="Verdana" w:hAnsi="Verdana" w:cs="Verdana"/>
          <w:b/>
          <w:sz w:val="24"/>
        </w:rPr>
        <w:t>To Whom It May Concern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  <w:vertAlign w:val="subscript"/>
        </w:rPr>
        <w:t xml:space="preserve">Date </w:t>
      </w:r>
      <w:r>
        <w:rPr>
          <w:rFonts w:ascii="Verdana" w:eastAsia="Verdana" w:hAnsi="Verdana" w:cs="Verdana"/>
          <w:sz w:val="18"/>
          <w:vertAlign w:val="subscript"/>
        </w:rPr>
        <w:tab/>
      </w:r>
      <w:r>
        <w:rPr>
          <w:rFonts w:ascii="Verdana" w:eastAsia="Verdana" w:hAnsi="Verdana" w:cs="Verdana"/>
          <w:sz w:val="18"/>
        </w:rPr>
        <w:t xml:space="preserve">20 February 2023 </w:t>
      </w:r>
    </w:p>
    <w:p w14:paraId="3E97BE77" w14:textId="77777777" w:rsidR="00F90B9C" w:rsidRDefault="00000000">
      <w:pPr>
        <w:spacing w:after="53"/>
        <w:ind w:left="5721"/>
      </w:pPr>
      <w:r>
        <w:rPr>
          <w:rFonts w:ascii="Verdana" w:eastAsia="Verdana" w:hAnsi="Verdana" w:cs="Verdana"/>
          <w:sz w:val="14"/>
        </w:rPr>
        <w:t xml:space="preserve">Division/Dept. </w:t>
      </w:r>
      <w:r>
        <w:rPr>
          <w:rFonts w:ascii="Verdana" w:eastAsia="Verdana" w:hAnsi="Verdana" w:cs="Verdana"/>
          <w:sz w:val="18"/>
        </w:rPr>
        <w:t xml:space="preserve">Global Export Operations </w:t>
      </w:r>
    </w:p>
    <w:p w14:paraId="5E72B43E" w14:textId="77777777" w:rsidR="00F90B9C" w:rsidRDefault="00000000">
      <w:pPr>
        <w:tabs>
          <w:tab w:val="center" w:pos="5974"/>
          <w:tab w:val="center" w:pos="6853"/>
        </w:tabs>
        <w:spacing w:after="58"/>
      </w:pPr>
      <w:r>
        <w:tab/>
      </w:r>
      <w:r>
        <w:rPr>
          <w:rFonts w:ascii="Verdana" w:eastAsia="Verdana" w:hAnsi="Verdana" w:cs="Verdana"/>
          <w:sz w:val="14"/>
        </w:rPr>
        <w:t xml:space="preserve">Care of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7179A6A1" w14:textId="77777777" w:rsidR="00F90B9C" w:rsidRDefault="00000000">
      <w:pPr>
        <w:tabs>
          <w:tab w:val="center" w:pos="5935"/>
          <w:tab w:val="center" w:pos="6853"/>
        </w:tabs>
        <w:spacing w:after="58"/>
      </w:pPr>
      <w:r>
        <w:tab/>
      </w:r>
      <w:r>
        <w:rPr>
          <w:rFonts w:ascii="Verdana" w:eastAsia="Verdana" w:hAnsi="Verdana" w:cs="Verdana"/>
          <w:sz w:val="14"/>
        </w:rPr>
        <w:t xml:space="preserve">Phone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62FA7535" w14:textId="77777777" w:rsidR="00F90B9C" w:rsidRDefault="00000000">
      <w:pPr>
        <w:tabs>
          <w:tab w:val="center" w:pos="5843"/>
          <w:tab w:val="center" w:pos="6853"/>
        </w:tabs>
        <w:spacing w:after="58"/>
      </w:pPr>
      <w:r>
        <w:tab/>
      </w:r>
      <w:r>
        <w:rPr>
          <w:rFonts w:ascii="Verdana" w:eastAsia="Verdana" w:hAnsi="Verdana" w:cs="Verdana"/>
          <w:sz w:val="14"/>
        </w:rPr>
        <w:t xml:space="preserve">Fax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3D6F62DF" w14:textId="77777777" w:rsidR="00F90B9C" w:rsidRDefault="00000000">
      <w:pPr>
        <w:tabs>
          <w:tab w:val="center" w:pos="5936"/>
          <w:tab w:val="center" w:pos="6853"/>
        </w:tabs>
        <w:spacing w:after="58"/>
      </w:pPr>
      <w:r>
        <w:tab/>
      </w:r>
      <w:r>
        <w:rPr>
          <w:rFonts w:ascii="Verdana" w:eastAsia="Verdana" w:hAnsi="Verdana" w:cs="Verdana"/>
          <w:sz w:val="14"/>
        </w:rPr>
        <w:t xml:space="preserve">E-Mail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7530DF13" w14:textId="77777777" w:rsidR="00F90B9C" w:rsidRDefault="00000000">
      <w:pPr>
        <w:spacing w:after="41"/>
        <w:ind w:left="3330"/>
        <w:jc w:val="center"/>
      </w:pP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6EEAC27A" w14:textId="77777777" w:rsidR="00F90B9C" w:rsidRDefault="00000000">
      <w:pPr>
        <w:spacing w:after="40"/>
        <w:ind w:left="3330"/>
        <w:jc w:val="center"/>
      </w:pP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3F33B5C9" w14:textId="77777777" w:rsidR="00F90B9C" w:rsidRDefault="00000000">
      <w:pPr>
        <w:spacing w:after="47"/>
        <w:ind w:left="3330"/>
        <w:jc w:val="center"/>
      </w:pP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3DD1B66A" w14:textId="77777777" w:rsidR="00F90B9C" w:rsidRDefault="00000000">
      <w:pPr>
        <w:spacing w:after="101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color w:val="5F5F5F"/>
          <w:sz w:val="14"/>
        </w:rPr>
        <w:t xml:space="preserve"> </w:t>
      </w:r>
      <w:r>
        <w:rPr>
          <w:rFonts w:ascii="Verdana" w:eastAsia="Verdana" w:hAnsi="Verdana" w:cs="Verdana"/>
          <w:color w:val="5F5F5F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314FC48B" w14:textId="77777777" w:rsidR="00F90B9C" w:rsidRDefault="00000000">
      <w:pPr>
        <w:spacing w:after="427" w:line="265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Distributorship Authorization </w:t>
      </w:r>
    </w:p>
    <w:p w14:paraId="5C33DFA3" w14:textId="77777777" w:rsidR="00F90B9C" w:rsidRDefault="00000000">
      <w:pPr>
        <w:spacing w:after="0" w:line="258" w:lineRule="auto"/>
        <w:ind w:right="236"/>
        <w:jc w:val="both"/>
      </w:pPr>
      <w:r>
        <w:rPr>
          <w:rFonts w:ascii="Verdana" w:eastAsia="Verdana" w:hAnsi="Verdana" w:cs="Verdana"/>
          <w:sz w:val="20"/>
        </w:rPr>
        <w:t xml:space="preserve">We, </w:t>
      </w:r>
      <w:r>
        <w:rPr>
          <w:rFonts w:ascii="Verdana" w:eastAsia="Verdana" w:hAnsi="Verdana" w:cs="Verdana"/>
          <w:b/>
          <w:sz w:val="20"/>
        </w:rPr>
        <w:t>Merck Life Science KGaA</w:t>
      </w:r>
      <w:r>
        <w:rPr>
          <w:rFonts w:ascii="Verdana" w:eastAsia="Verdana" w:hAnsi="Verdana" w:cs="Verdana"/>
          <w:sz w:val="20"/>
        </w:rPr>
        <w:t>, being a subsidiary of Merck KGaA, Darmstadt, Germany</w:t>
      </w:r>
      <w:r>
        <w:rPr>
          <w:rFonts w:ascii="Verdana" w:eastAsia="Verdana" w:hAnsi="Verdana" w:cs="Verdana"/>
          <w:b/>
          <w:sz w:val="20"/>
        </w:rPr>
        <w:t>, Frankfurter Strasse 250, 64293 Darmstadt, Germany</w:t>
      </w:r>
      <w:r>
        <w:rPr>
          <w:rFonts w:ascii="Verdana" w:eastAsia="Verdana" w:hAnsi="Verdana" w:cs="Verdana"/>
          <w:sz w:val="20"/>
        </w:rPr>
        <w:t xml:space="preserve">, confirm on our behalf and on behalf of our affiliates </w:t>
      </w:r>
    </w:p>
    <w:p w14:paraId="4D175392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2EDDC56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Sigma – Aldrich Israel Ltd., 3 Plaut Street, Rabin Park, 76100 Rehovot, Israel, </w:t>
      </w:r>
    </w:p>
    <w:p w14:paraId="4A2A8FFB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Millipore S. A. S., 39, route Industrielle de la Hardt, 67120 Molsheim, France and Merck LS RTU GmbH, Goebelstrasse 1-3, 64293 Darmstadt, Germany </w:t>
      </w:r>
    </w:p>
    <w:p w14:paraId="5DE267A0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1AE3DFD" w14:textId="77777777" w:rsidR="00F90B9C" w:rsidRDefault="00000000">
      <w:pPr>
        <w:spacing w:after="12" w:line="250" w:lineRule="auto"/>
        <w:ind w:left="10" w:hanging="10"/>
      </w:pPr>
      <w:r>
        <w:rPr>
          <w:rFonts w:ascii="Verdana" w:eastAsia="Verdana" w:hAnsi="Verdana" w:cs="Verdana"/>
          <w:sz w:val="20"/>
        </w:rPr>
        <w:t xml:space="preserve">that the company </w:t>
      </w:r>
    </w:p>
    <w:p w14:paraId="248CFD16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FD5F73A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Mercury Scientific &amp; Industrial Products Ltd. </w:t>
      </w:r>
    </w:p>
    <w:p w14:paraId="5E7A5BC9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Ha`avoda Street 12 </w:t>
      </w:r>
    </w:p>
    <w:p w14:paraId="1720278E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ROSH-HA AYIN 48101 </w:t>
      </w:r>
    </w:p>
    <w:p w14:paraId="479A3DE4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Israel </w:t>
      </w:r>
    </w:p>
    <w:p w14:paraId="03451C5D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D5DC8AC" w14:textId="77777777" w:rsidR="00F90B9C" w:rsidRDefault="00000000">
      <w:pPr>
        <w:spacing w:after="12" w:line="250" w:lineRule="auto"/>
        <w:ind w:left="10" w:hanging="10"/>
      </w:pPr>
      <w:r>
        <w:rPr>
          <w:rFonts w:ascii="Verdana" w:eastAsia="Verdana" w:hAnsi="Verdana" w:cs="Verdana"/>
          <w:sz w:val="20"/>
        </w:rPr>
        <w:t xml:space="preserve">is an authorized distributor in </w:t>
      </w:r>
      <w:r>
        <w:rPr>
          <w:rFonts w:ascii="Verdana" w:eastAsia="Verdana" w:hAnsi="Verdana" w:cs="Verdana"/>
          <w:b/>
          <w:sz w:val="20"/>
        </w:rPr>
        <w:t>ISRAEL</w:t>
      </w:r>
      <w:r>
        <w:rPr>
          <w:rFonts w:ascii="Verdana" w:eastAsia="Verdana" w:hAnsi="Verdana" w:cs="Verdana"/>
          <w:sz w:val="20"/>
        </w:rPr>
        <w:t xml:space="preserve"> for  </w:t>
      </w:r>
    </w:p>
    <w:p w14:paraId="61E81A65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049701B" w14:textId="77777777" w:rsidR="00F90B9C" w:rsidRDefault="00000000">
      <w:pPr>
        <w:spacing w:after="27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SCIENCE &amp; LAB SOLUTIONS </w:t>
      </w:r>
    </w:p>
    <w:p w14:paraId="3C5E865D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LA1 Lab Water Solutions </w:t>
      </w:r>
    </w:p>
    <w:p w14:paraId="11556D5D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LA2 Biomonitoring </w:t>
      </w:r>
    </w:p>
    <w:p w14:paraId="15513884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LA4 Diagnostics &amp; Regulated Materials </w:t>
      </w:r>
    </w:p>
    <w:p w14:paraId="67F1EE7A" w14:textId="77777777" w:rsidR="00F90B9C" w:rsidRDefault="00000000">
      <w:pPr>
        <w:spacing w:after="280"/>
      </w:pPr>
      <w:r>
        <w:rPr>
          <w:rFonts w:ascii="Verdana" w:eastAsia="Verdana" w:hAnsi="Verdana" w:cs="Verdana"/>
          <w:sz w:val="20"/>
        </w:rPr>
        <w:t xml:space="preserve"> </w:t>
      </w:r>
    </w:p>
    <w:p w14:paraId="4756A5F2" w14:textId="77777777" w:rsidR="00F90B9C" w:rsidRDefault="00000000">
      <w:pPr>
        <w:spacing w:after="101"/>
        <w:ind w:left="7"/>
      </w:pPr>
      <w:r>
        <w:rPr>
          <w:noProof/>
        </w:rPr>
        <w:drawing>
          <wp:inline distT="0" distB="0" distL="0" distR="0" wp14:anchorId="19F9E8D2" wp14:editId="7700B8BF">
            <wp:extent cx="891540" cy="431800"/>
            <wp:effectExtent l="0" t="0" r="0" b="0"/>
            <wp:docPr id="79" name="Picture 79" descr="LOGO MER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GO MERCK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0" w:type="dxa"/>
        <w:tblInd w:w="7" w:type="dxa"/>
        <w:tblCellMar>
          <w:top w:w="0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3332"/>
        <w:gridCol w:w="2997"/>
      </w:tblGrid>
      <w:tr w:rsidR="00F90B9C" w14:paraId="1D54F857" w14:textId="77777777">
        <w:trPr>
          <w:trHeight w:val="140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16C5" w14:textId="77777777" w:rsidR="00F90B9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 xml:space="preserve">Merck Life Science KGaA </w:t>
            </w:r>
          </w:p>
          <w:p w14:paraId="5D5B65F2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Frankfurter Straße 250 </w:t>
            </w:r>
          </w:p>
          <w:p w14:paraId="1662E1B6" w14:textId="77777777" w:rsidR="00F90B9C" w:rsidRDefault="00000000">
            <w:pPr>
              <w:spacing w:after="1"/>
            </w:pPr>
            <w:r>
              <w:rPr>
                <w:rFonts w:ascii="Verdana" w:eastAsia="Verdana" w:hAnsi="Verdana" w:cs="Verdana"/>
                <w:sz w:val="12"/>
              </w:rPr>
              <w:t xml:space="preserve">64293 Darmstadt · Germany </w:t>
            </w:r>
          </w:p>
          <w:p w14:paraId="6A79D310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Tel. +49 6151 72 0 </w:t>
            </w:r>
          </w:p>
          <w:p w14:paraId="5EA305BF" w14:textId="77777777" w:rsidR="00F90B9C" w:rsidRDefault="00000000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Fax +49 6151 72 2000 </w:t>
            </w:r>
          </w:p>
          <w:p w14:paraId="2F2050AC" w14:textId="77777777" w:rsidR="00F90B9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 xml:space="preserve">MERCKgroup.com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05C399A0" w14:textId="77777777" w:rsidR="00F90B9C" w:rsidRDefault="00000000">
            <w:pPr>
              <w:spacing w:after="1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14:paraId="3BE93903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Corporation with General Partners </w:t>
            </w:r>
          </w:p>
          <w:p w14:paraId="7D3CF02B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Commercial Register: AG Darmstadt HRB 104168 </w:t>
            </w:r>
          </w:p>
          <w:p w14:paraId="25D697C9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Registered Office: Darmstadt </w:t>
            </w:r>
          </w:p>
          <w:p w14:paraId="3489BEBB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Chairman of the Supervisory Board: </w:t>
            </w:r>
          </w:p>
          <w:p w14:paraId="2366D511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Wolfgang Büchele </w:t>
            </w:r>
          </w:p>
          <w:p w14:paraId="3B08AB71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General Partner: Merck KGaA </w:t>
            </w:r>
          </w:p>
          <w:p w14:paraId="56A5E5B7" w14:textId="77777777" w:rsidR="00F90B9C" w:rsidRDefault="00000000">
            <w:pPr>
              <w:spacing w:after="31"/>
            </w:pPr>
            <w:r>
              <w:rPr>
                <w:rFonts w:ascii="Verdana" w:eastAsia="Verdana" w:hAnsi="Verdana" w:cs="Verdana"/>
                <w:sz w:val="12"/>
              </w:rPr>
              <w:t xml:space="preserve">Commercial Register of Merck KGaA: </w:t>
            </w:r>
          </w:p>
          <w:p w14:paraId="356A8B40" w14:textId="77777777" w:rsidR="00F90B9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AG Darmstadt HRB 6164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536CF40F" w14:textId="77777777" w:rsidR="00F90B9C" w:rsidRDefault="00000000">
            <w:pPr>
              <w:spacing w:after="1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14:paraId="15DBCD2D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Registered Office of Merck KGaA: Darmstadt </w:t>
            </w:r>
          </w:p>
          <w:p w14:paraId="2C5AF624" w14:textId="77777777" w:rsidR="00F90B9C" w:rsidRDefault="00000000">
            <w:pPr>
              <w:spacing w:after="3"/>
            </w:pPr>
            <w:r>
              <w:rPr>
                <w:rFonts w:ascii="Verdana" w:eastAsia="Verdana" w:hAnsi="Verdana" w:cs="Verdana"/>
                <w:sz w:val="12"/>
              </w:rPr>
              <w:t xml:space="preserve">Executive Board and General Partners of Merck </w:t>
            </w:r>
          </w:p>
          <w:p w14:paraId="38A17ECC" w14:textId="77777777" w:rsidR="00F90B9C" w:rsidRDefault="00000000">
            <w:pPr>
              <w:spacing w:after="30" w:line="264" w:lineRule="auto"/>
              <w:ind w:right="19"/>
            </w:pPr>
            <w:r>
              <w:rPr>
                <w:rFonts w:ascii="Verdana" w:eastAsia="Verdana" w:hAnsi="Verdana" w:cs="Verdana"/>
                <w:sz w:val="12"/>
              </w:rPr>
              <w:t xml:space="preserve">KGaA: Belén Garijo (Chair), Kai Beckmann, Peter Guenter, Matthias Heinzel, Marcus Kuhnert Chairman Supervisory Board of Merck KGaA: </w:t>
            </w:r>
          </w:p>
          <w:p w14:paraId="268A2909" w14:textId="77777777" w:rsidR="00F90B9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Wolfgang Büchele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5FC7F2AD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4B5C538" w14:textId="77777777" w:rsidR="00F90B9C" w:rsidRDefault="00000000">
      <w:pPr>
        <w:tabs>
          <w:tab w:val="right" w:pos="9719"/>
        </w:tabs>
        <w:spacing w:after="379"/>
        <w:ind w:right="-411"/>
      </w:pPr>
      <w:r>
        <w:rPr>
          <w:rFonts w:ascii="Verdana" w:eastAsia="Verdana" w:hAnsi="Verdana" w:cs="Verdana"/>
          <w:sz w:val="32"/>
        </w:rPr>
        <w:t xml:space="preserve"> </w:t>
      </w:r>
      <w:r>
        <w:rPr>
          <w:rFonts w:ascii="Verdana" w:eastAsia="Verdana" w:hAnsi="Verdana" w:cs="Verdana"/>
          <w:sz w:val="32"/>
        </w:rPr>
        <w:tab/>
      </w:r>
      <w:r>
        <w:rPr>
          <w:noProof/>
        </w:rPr>
        <w:drawing>
          <wp:inline distT="0" distB="0" distL="0" distR="0" wp14:anchorId="07C064BD" wp14:editId="67C01C87">
            <wp:extent cx="1146518" cy="179705"/>
            <wp:effectExtent l="0" t="0" r="0" b="0"/>
            <wp:docPr id="200" name="Picture 200" descr="LOGO MER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LOGO MERCK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518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E2D" w14:textId="77777777" w:rsidR="00F90B9C" w:rsidRDefault="00000000">
      <w:pPr>
        <w:spacing w:after="159"/>
      </w:pPr>
      <w:r>
        <w:rPr>
          <w:rFonts w:ascii="Verdana" w:eastAsia="Verdana" w:hAnsi="Verdana" w:cs="Verdana"/>
          <w:sz w:val="8"/>
        </w:rPr>
        <w:t xml:space="preserve"> </w:t>
      </w:r>
    </w:p>
    <w:p w14:paraId="069B8D1B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LR2 Chemistry </w:t>
      </w:r>
    </w:p>
    <w:p w14:paraId="18810699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LR4 Biology </w:t>
      </w:r>
    </w:p>
    <w:p w14:paraId="28E6E17E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C65644F" w14:textId="77777777" w:rsidR="00F90B9C" w:rsidRDefault="00000000">
      <w:pPr>
        <w:spacing w:after="29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PROCESS SOLUTIONS </w:t>
      </w:r>
    </w:p>
    <w:p w14:paraId="18C5F3C2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LP2 BioProcessing </w:t>
      </w:r>
    </w:p>
    <w:p w14:paraId="7D2510C5" w14:textId="77777777" w:rsidR="00F90B9C" w:rsidRDefault="00000000">
      <w:pPr>
        <w:numPr>
          <w:ilvl w:val="0"/>
          <w:numId w:val="1"/>
        </w:numPr>
        <w:spacing w:after="12" w:line="250" w:lineRule="auto"/>
        <w:ind w:hanging="360"/>
      </w:pPr>
      <w:r>
        <w:rPr>
          <w:rFonts w:ascii="Verdana" w:eastAsia="Verdana" w:hAnsi="Verdana" w:cs="Verdana"/>
          <w:sz w:val="20"/>
        </w:rPr>
        <w:t xml:space="preserve">LP3 Process &amp; Formulation Materials </w:t>
      </w:r>
    </w:p>
    <w:p w14:paraId="120157B8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88EF4F3" w14:textId="77777777" w:rsidR="00F90B9C" w:rsidRDefault="00000000">
      <w:pPr>
        <w:spacing w:after="12" w:line="250" w:lineRule="auto"/>
        <w:ind w:left="10" w:hanging="10"/>
      </w:pPr>
      <w:r>
        <w:rPr>
          <w:rFonts w:ascii="Verdana" w:eastAsia="Verdana" w:hAnsi="Verdana" w:cs="Verdana"/>
          <w:b/>
          <w:sz w:val="20"/>
        </w:rPr>
        <w:t>Mercury Scientific &amp; Industrial Products Ltd.</w:t>
      </w:r>
      <w:r>
        <w:rPr>
          <w:rFonts w:ascii="Verdana" w:eastAsia="Verdana" w:hAnsi="Verdana" w:cs="Verdana"/>
          <w:sz w:val="20"/>
        </w:rPr>
        <w:t xml:space="preserve"> is entitled to participate in local tenders and to offer and sell Life Science products mentioned in the paragraph above, in original packages and originally labelled, from their local stock. </w:t>
      </w:r>
    </w:p>
    <w:p w14:paraId="7F57F693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C9B5F9C" w14:textId="77777777" w:rsidR="00F90B9C" w:rsidRDefault="00000000">
      <w:pPr>
        <w:spacing w:after="1" w:line="258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This authorization is valid until 31.12.2023. </w:t>
      </w:r>
    </w:p>
    <w:p w14:paraId="1FAFC767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5818B44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5C8892B" w14:textId="77777777" w:rsidR="00F90B9C" w:rsidRDefault="00000000">
      <w:pPr>
        <w:spacing w:after="12" w:line="250" w:lineRule="auto"/>
        <w:ind w:left="10" w:hanging="10"/>
      </w:pPr>
      <w:r>
        <w:rPr>
          <w:rFonts w:ascii="Verdana" w:eastAsia="Verdana" w:hAnsi="Verdana" w:cs="Verdana"/>
          <w:sz w:val="20"/>
        </w:rPr>
        <w:t xml:space="preserve">With best regards </w:t>
      </w:r>
    </w:p>
    <w:p w14:paraId="39430BD1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C29188E" w14:textId="77777777" w:rsidR="00F90B9C" w:rsidRDefault="00000000">
      <w:pPr>
        <w:spacing w:after="21"/>
      </w:pPr>
      <w:hyperlink r:id="rId7">
        <w:r>
          <w:rPr>
            <w:rFonts w:ascii="Verdana" w:eastAsia="Verdana" w:hAnsi="Verdana" w:cs="Verdana"/>
            <w:sz w:val="20"/>
          </w:rPr>
          <w:t xml:space="preserve"> </w:t>
        </w:r>
      </w:hyperlink>
      <w:r>
        <w:rPr>
          <w:noProof/>
        </w:rPr>
        <w:drawing>
          <wp:inline distT="0" distB="0" distL="0" distR="0" wp14:anchorId="4C43FC70" wp14:editId="72D000EF">
            <wp:extent cx="4291584" cy="1228344"/>
            <wp:effectExtent l="0" t="0" r="0" b="0"/>
            <wp:docPr id="3681" name="Picture 3681" descr="LOGO MERCK + SIGNATURE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" name="Picture 3681" descr="LOGO MERCK + SIGNATURES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>
          <w:rPr>
            <w:rFonts w:ascii="Source Sans Pro" w:eastAsia="Source Sans Pro" w:hAnsi="Source Sans Pro" w:cs="Source Sans Pro"/>
            <w:color w:val="1473E6"/>
            <w:sz w:val="11"/>
          </w:rPr>
          <w:t>Thorste</w:t>
        </w:r>
      </w:hyperlink>
      <w:hyperlink r:id="rId10">
        <w:r>
          <w:rPr>
            <w:rFonts w:ascii="Source Sans Pro" w:eastAsia="Source Sans Pro" w:hAnsi="Source Sans Pro" w:cs="Source Sans Pro"/>
            <w:strike/>
            <w:color w:val="1473E6"/>
            <w:sz w:val="11"/>
          </w:rPr>
          <w:t xml:space="preserve">n </w:t>
        </w:r>
      </w:hyperlink>
      <w:hyperlink r:id="rId11">
        <w:r>
          <w:rPr>
            <w:rFonts w:ascii="Source Sans Pro" w:eastAsia="Source Sans Pro" w:hAnsi="Source Sans Pro" w:cs="Source Sans Pro"/>
            <w:color w:val="1473E6"/>
            <w:sz w:val="11"/>
          </w:rPr>
          <w:t xml:space="preserve">Halm </w:t>
        </w:r>
      </w:hyperlink>
      <w:hyperlink r:id="rId12">
        <w:r>
          <w:rPr>
            <w:rFonts w:ascii="Source Sans Pro" w:eastAsia="Source Sans Pro" w:hAnsi="Source Sans Pro" w:cs="Source Sans Pro"/>
            <w:color w:val="1473E6"/>
            <w:sz w:val="11"/>
            <w:u w:val="single" w:color="000000"/>
          </w:rPr>
          <w:t>(</w:t>
        </w:r>
      </w:hyperlink>
      <w:hyperlink r:id="rId13">
        <w:r>
          <w:rPr>
            <w:rFonts w:ascii="Source Sans Pro" w:eastAsia="Source Sans Pro" w:hAnsi="Source Sans Pro" w:cs="Source Sans Pro"/>
            <w:color w:val="1473E6"/>
            <w:sz w:val="11"/>
          </w:rPr>
          <w:t>Feb 20, 2023 22:33 GMT+1)</w:t>
        </w:r>
      </w:hyperlink>
    </w:p>
    <w:p w14:paraId="2F9FF24D" w14:textId="77777777" w:rsidR="00F90B9C" w:rsidRDefault="00000000">
      <w:pPr>
        <w:tabs>
          <w:tab w:val="center" w:pos="3541"/>
          <w:tab w:val="center" w:pos="4249"/>
          <w:tab w:val="center" w:pos="5583"/>
        </w:tabs>
        <w:spacing w:after="129"/>
        <w:ind w:left="-15"/>
      </w:pPr>
      <w:r>
        <w:rPr>
          <w:rFonts w:ascii="Verdana" w:eastAsia="Verdana" w:hAnsi="Verdana" w:cs="Verdana"/>
          <w:sz w:val="16"/>
        </w:rPr>
        <w:t xml:space="preserve">Head of Global Export Operations  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Sales Programs </w:t>
      </w:r>
    </w:p>
    <w:p w14:paraId="261F5156" w14:textId="77777777" w:rsidR="00F90B9C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5750"/>
        </w:tabs>
        <w:spacing w:after="0"/>
        <w:ind w:left="-15"/>
      </w:pPr>
      <w:r>
        <w:rPr>
          <w:rFonts w:ascii="Verdana" w:eastAsia="Verdana" w:hAnsi="Verdana" w:cs="Verdana"/>
          <w:sz w:val="16"/>
        </w:rPr>
        <w:t xml:space="preserve">Life Science | EMEA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>Life Science | EMEA</w:t>
      </w:r>
      <w:r>
        <w:rPr>
          <w:rFonts w:ascii="Arial" w:eastAsia="Arial" w:hAnsi="Arial" w:cs="Arial"/>
        </w:rPr>
        <w:t xml:space="preserve"> </w:t>
      </w:r>
    </w:p>
    <w:p w14:paraId="3DF8A60C" w14:textId="77777777" w:rsidR="00F90B9C" w:rsidRDefault="00000000">
      <w:pPr>
        <w:spacing w:after="121"/>
        <w:ind w:left="7"/>
      </w:pPr>
      <w:r>
        <w:rPr>
          <w:noProof/>
        </w:rPr>
        <w:drawing>
          <wp:inline distT="0" distB="0" distL="0" distR="0" wp14:anchorId="71A2BF9C" wp14:editId="0B9DAD40">
            <wp:extent cx="891540" cy="43180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6FA32" w14:textId="77777777" w:rsidR="00F90B9C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sectPr w:rsidR="00F90B9C">
      <w:pgSz w:w="11906" w:h="16838"/>
      <w:pgMar w:top="907" w:right="1351" w:bottom="453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21C7"/>
    <w:multiLevelType w:val="hybridMultilevel"/>
    <w:tmpl w:val="1A101864"/>
    <w:lvl w:ilvl="0" w:tplc="F6FCCC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EF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CC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66B9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0AAF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A54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CC2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CC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CA6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5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9C"/>
    <w:rsid w:val="008D133A"/>
    <w:rsid w:val="009B5045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DBA1"/>
  <w15:docId w15:val="{40E5E2C8-6B33-4245-90CC-BF36E97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brantm.eu1.adobesign.com/verifier?tx=CBJCHBCAABAAU2xmNKx5_TPPCJ8nf5Amuilmnie2k7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brantm.eu1.adobesign.com/verifier?tx=CBJCHBCAABAAU2xmNKx5_TPPCJ8nf5Amuilmnie2k7u0" TargetMode="External"/><Relationship Id="rId12" Type="http://schemas.openxmlformats.org/officeDocument/2006/relationships/hyperlink" Target="https://vibrantm.eu1.adobesign.com/verifier?tx=CBJCHBCAABAAU2xmNKx5_TPPCJ8nf5Amuilmnie2k7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vibrantm.eu1.adobesign.com/verifier?tx=CBJCHBCAABAAU2xmNKx5_TPPCJ8nf5Amuilmnie2k7u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vibrantm.eu1.adobesign.com/verifier?tx=CBJCHBCAABAAU2xmNKx5_TPPCJ8nf5Amuilmnie2k7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brantm.eu1.adobesign.com/verifier?tx=CBJCHBCAABAAU2xmNKx5_TPPCJ8nf5Amuilmnie2k7u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External/Internal Letter, Telefax for Word, Merck Life Science KGaA, English</dc:title>
  <dc:subject/>
  <dc:creator>Tanja Janning</dc:creator>
  <cp:keywords/>
  <cp:lastModifiedBy>tomer fish</cp:lastModifiedBy>
  <cp:revision>3</cp:revision>
  <dcterms:created xsi:type="dcterms:W3CDTF">2024-03-28T20:59:00Z</dcterms:created>
  <dcterms:modified xsi:type="dcterms:W3CDTF">2024-03-28T21:01:00Z</dcterms:modified>
</cp:coreProperties>
</file>